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09D" w:rsidRPr="00787BF1" w:rsidRDefault="0029609D" w:rsidP="0029609D">
      <w:pPr>
        <w:pStyle w:val="Heading2"/>
        <w:rPr>
          <w:lang w:val="en-SG"/>
        </w:rPr>
      </w:pPr>
      <w:bookmarkStart w:id="0" w:name="_Toc155342776"/>
      <w:bookmarkStart w:id="1" w:name="_GoBack"/>
      <w:r w:rsidRPr="00787BF1">
        <w:rPr>
          <w:b/>
          <w:sz w:val="24"/>
          <w:lang w:val="vi-VN"/>
        </w:rPr>
        <w:t>98. ĐẠI DIỆN THEO PHÁP LUẬT</w:t>
      </w:r>
      <w:bookmarkEnd w:id="1"/>
      <w:r w:rsidRPr="00787BF1">
        <w:rPr>
          <w:bCs/>
        </w:rPr>
        <w:t xml:space="preserve">, </w:t>
      </w:r>
      <w:r w:rsidRPr="00787BF1">
        <w:rPr>
          <w:lang w:val="vi-VN"/>
        </w:rPr>
        <w:t>cơ chế đại diện do pháp luật quy định dành cho các trường hợp mà Nhà nước nhận thấy bắt buộc chủ thể phải có người đại diện cho mình</w:t>
      </w:r>
      <w:r w:rsidRPr="00787BF1">
        <w:rPr>
          <w:lang w:val="en-SG"/>
        </w:rPr>
        <w:t>.</w:t>
      </w:r>
      <w:bookmarkEnd w:id="0"/>
      <w:r w:rsidRPr="00787BF1">
        <w:rPr>
          <w:lang w:val="en-SG"/>
        </w:rPr>
        <w:t xml:space="preserve"> </w:t>
      </w:r>
    </w:p>
    <w:p w:rsidR="0029609D" w:rsidRPr="00787BF1" w:rsidRDefault="0029609D" w:rsidP="0029609D">
      <w:pPr>
        <w:spacing w:before="120"/>
        <w:ind w:firstLine="284"/>
        <w:jc w:val="both"/>
        <w:rPr>
          <w:szCs w:val="28"/>
          <w:lang w:val="vi-VN"/>
        </w:rPr>
      </w:pPr>
      <w:r w:rsidRPr="00787BF1">
        <w:rPr>
          <w:szCs w:val="28"/>
          <w:lang w:val="vi-VN"/>
        </w:rPr>
        <w:t>ĐDTPL</w:t>
      </w:r>
      <w:r w:rsidRPr="00787BF1" w:rsidDel="008B2283">
        <w:rPr>
          <w:szCs w:val="28"/>
        </w:rPr>
        <w:t xml:space="preserve"> </w:t>
      </w:r>
      <w:r w:rsidRPr="00787BF1">
        <w:rPr>
          <w:szCs w:val="28"/>
        </w:rPr>
        <w:t>ra đời trên yêu cầu thực tiễn khi các chủ thể không phải lúc nào cũng có thể tự mình tham gia hoặc</w:t>
      </w:r>
      <w:r w:rsidRPr="00787BF1">
        <w:rPr>
          <w:szCs w:val="28"/>
          <w:lang w:val="vi-VN"/>
        </w:rPr>
        <w:t xml:space="preserve"> không đủ năng lực </w:t>
      </w:r>
      <w:r w:rsidRPr="00787BF1">
        <w:rPr>
          <w:szCs w:val="28"/>
        </w:rPr>
        <w:t>thực hiện các quyền, nghĩa vụ trong một quan hệ pháp luật nhưng quyền, nghĩa vụ của các chủ thể vẫn cần được bảo đảm, bảo vệ</w:t>
      </w:r>
      <w:r w:rsidRPr="00787BF1">
        <w:rPr>
          <w:szCs w:val="28"/>
          <w:lang w:val="vi-VN"/>
        </w:rPr>
        <w:t xml:space="preserve">. </w:t>
      </w:r>
    </w:p>
    <w:p w:rsidR="0029609D" w:rsidRPr="00787BF1" w:rsidRDefault="0029609D" w:rsidP="0029609D">
      <w:pPr>
        <w:spacing w:before="120"/>
        <w:ind w:firstLine="284"/>
        <w:jc w:val="both"/>
        <w:rPr>
          <w:szCs w:val="28"/>
          <w:lang w:val="vi-VN"/>
        </w:rPr>
      </w:pPr>
      <w:r w:rsidRPr="00787BF1">
        <w:rPr>
          <w:szCs w:val="28"/>
          <w:lang w:val="vi-VN"/>
        </w:rPr>
        <w:t xml:space="preserve">ĐDTPL có thể được xem xét theo hai góc độ: một quan hệ pháp luật dân sự hoặc một chế định pháp luật. Với góc độ là một quan hệ pháp luật, ĐDTPL là quan hệ giữa người đại diện với người được đại diện mà theo đó, người đại diện sẽ nhân danh người được đại diện xác lập, thực hiện hoặc chấm dứt các giao dịch dân sự trên cơ sở quy định của pháp luật. Với góc độ là một chế định pháp luật, đại diện là chế định của </w:t>
      </w:r>
      <w:r w:rsidRPr="00787BF1">
        <w:rPr>
          <w:szCs w:val="28"/>
          <w:lang w:val="en-SG"/>
        </w:rPr>
        <w:t>L</w:t>
      </w:r>
      <w:r w:rsidRPr="00787BF1">
        <w:rPr>
          <w:szCs w:val="28"/>
          <w:lang w:val="vi-VN"/>
        </w:rPr>
        <w:t xml:space="preserve">uật </w:t>
      </w:r>
      <w:r w:rsidRPr="00787BF1">
        <w:rPr>
          <w:szCs w:val="28"/>
          <w:lang w:val="en-SG"/>
        </w:rPr>
        <w:t>D</w:t>
      </w:r>
      <w:r w:rsidRPr="00787BF1">
        <w:rPr>
          <w:szCs w:val="28"/>
          <w:lang w:val="vi-VN"/>
        </w:rPr>
        <w:t xml:space="preserve">ân sự quy định các trường hợp cụ thể cần có đại diện, cơ chế xác định, thực hiện cũng như chấm dứt đại diện giữa người đại diện với người được đại diện. Dù được nhìn nhận ở góc độ nào thì ĐDTPL đều mang theo những nét đặc trưng: </w:t>
      </w:r>
      <w:r w:rsidRPr="00787BF1">
        <w:rPr>
          <w:szCs w:val="28"/>
          <w:lang w:val="en-SG"/>
        </w:rPr>
        <w:t>i)</w:t>
      </w:r>
      <w:r w:rsidRPr="00787BF1">
        <w:rPr>
          <w:szCs w:val="28"/>
          <w:lang w:val="vi-VN"/>
        </w:rPr>
        <w:t xml:space="preserve"> ĐDTPL được pháp luật cụ thể hoá trong các quy phạm pháp luật được ban hành theo trình tự nhất định của cơ quan có thẩm quyền; </w:t>
      </w:r>
      <w:r w:rsidRPr="00787BF1">
        <w:rPr>
          <w:szCs w:val="28"/>
          <w:lang w:val="en-SG"/>
        </w:rPr>
        <w:t>ii)</w:t>
      </w:r>
      <w:r w:rsidRPr="00787BF1">
        <w:rPr>
          <w:szCs w:val="28"/>
          <w:lang w:val="vi-VN"/>
        </w:rPr>
        <w:t xml:space="preserve"> ĐDTPL áp dụng cho các trường hợp nhà làm luật yêu cầu cá nhân phải có người đại diện hoặc đối với pháp nhân; </w:t>
      </w:r>
      <w:r w:rsidRPr="00787BF1">
        <w:rPr>
          <w:szCs w:val="28"/>
          <w:lang w:val="en-SG"/>
        </w:rPr>
        <w:t>iii)</w:t>
      </w:r>
      <w:r w:rsidRPr="00787BF1">
        <w:rPr>
          <w:szCs w:val="28"/>
          <w:lang w:val="vi-VN"/>
        </w:rPr>
        <w:t xml:space="preserve"> </w:t>
      </w:r>
      <w:r w:rsidRPr="00787BF1">
        <w:rPr>
          <w:szCs w:val="28"/>
          <w:lang w:val="en-SG"/>
        </w:rPr>
        <w:t>P</w:t>
      </w:r>
      <w:r w:rsidRPr="00787BF1">
        <w:rPr>
          <w:szCs w:val="28"/>
          <w:lang w:val="vi-VN"/>
        </w:rPr>
        <w:t xml:space="preserve">hạm vi ĐDTPL xác định theo phạm vi luật định (đối với cá nhân) hoặc theo cơ chế mà nhà làm luật đã ghi nhận (đối với pháp nhân); </w:t>
      </w:r>
      <w:r w:rsidRPr="00787BF1">
        <w:rPr>
          <w:szCs w:val="28"/>
          <w:lang w:val="en-SG"/>
        </w:rPr>
        <w:t>iv)</w:t>
      </w:r>
      <w:r w:rsidRPr="00787BF1">
        <w:rPr>
          <w:szCs w:val="28"/>
          <w:lang w:val="vi-VN"/>
        </w:rPr>
        <w:t xml:space="preserve"> </w:t>
      </w:r>
      <w:r w:rsidRPr="00787BF1">
        <w:rPr>
          <w:szCs w:val="28"/>
          <w:lang w:val="en-SG"/>
        </w:rPr>
        <w:t>C</w:t>
      </w:r>
      <w:r w:rsidRPr="00787BF1">
        <w:rPr>
          <w:szCs w:val="28"/>
          <w:lang w:val="vi-VN"/>
        </w:rPr>
        <w:t xml:space="preserve">ơ sở xác lập, thực hiện hoặc chấm dứt ĐDTPL tuân thủ theo các trường hợp được pháp luật quy định. </w:t>
      </w:r>
    </w:p>
    <w:p w:rsidR="0029609D" w:rsidRPr="00787BF1" w:rsidRDefault="0029609D" w:rsidP="0029609D">
      <w:pPr>
        <w:spacing w:before="120"/>
        <w:ind w:firstLine="284"/>
        <w:jc w:val="both"/>
        <w:rPr>
          <w:szCs w:val="28"/>
        </w:rPr>
      </w:pPr>
      <w:r w:rsidRPr="00787BF1">
        <w:rPr>
          <w:szCs w:val="28"/>
          <w:lang w:val="vi-VN"/>
        </w:rPr>
        <w:t xml:space="preserve">ĐDTPL được áp dụng cho người được đại diện là cá nhân hoặc pháp nhân. Cá nhân chỉ cần người ĐDTPL trong trường hợp cá nhân này không đủ khả năng tự mình xác lập, thực hiện, bảo vệ các quyền, lợi ích hợp pháp của mình. Những trường hợp này bao gồm: người chưa thành niên; người mất năng lực hành vi dân sự; người có khó khăn trong nhận thức, làm chủ hành vi; và người hạn chế năng lực hành vi dân sự. Giữa các quốc gia trên thế giới có thể ghi nhận với các tên gọi, thuật ngữ khác nhau nhưng đặc điểm chung là các quốc gia đều xác định cá nhân cần có người ĐDTPL dựa trên cơ sở về năng lực tự thực hiện, tự chịu trách nhiệm cũng như khả năng tự bảo vệ quyền, lợi ích hợp pháp của các chủ thể này. </w:t>
      </w:r>
      <w:r w:rsidRPr="00787BF1">
        <w:rPr>
          <w:szCs w:val="28"/>
        </w:rPr>
        <w:t xml:space="preserve">ĐDTPL của người chưa thành niên được xác định là cha, mẹ của người này. Bao giờ cha, mẹ cũng xác định là người đầu tiên làm ĐDTPL cho con chưa thành niên của mình bởi giữa các chủ thể này có sự gắn bó tự nhiên trong việc cha, mẹ sinh ra con cho đến sự thiêng liêng về huyết thống, sự gắn kết tinh thần. Tiếp đến, trường hợp không có cha, mẹ, ĐDTPL được xác định là người giám hộ đối với người chưa thành niên. Người giám hộ cũng được xác định theo cơ chế giám hộ đương nhiên hoặc giám hộ được cử hoặc chỉ định song đều có đặc điểm chung là những người giám hộ sẽ là sự lựa chọn tốt nhất trong việc chăm sóc, giáo dục, bảo vệ những người chưa thành niên này. ĐDTPL của cá nhân cũng có thể được xác định trên cơ sở Toà án chỉ định khi không thể xác định được người ĐDTPL trong hai trường hợp nêu trên. Đặc biệt, Toà án cũng có quyền chỉ định người ĐDTPL của người hạn chế năng lực hành vi dân sự. Tuy nhiên, tính chất của người ĐDTPL </w:t>
      </w:r>
      <w:r w:rsidRPr="00787BF1">
        <w:rPr>
          <w:szCs w:val="28"/>
        </w:rPr>
        <w:lastRenderedPageBreak/>
        <w:t xml:space="preserve">với người hạn chế năng lực hành vi dân sự lại rất khác so với các trường hợp còn lại bởi lẽ ĐDTPL lúc này lại có chức năng chính trong việc bảo đảm các giao dịch liên quan đến tài sản do người hạn chế năng lực hành vi dân sự không làm ảnh hưởng nghiêm trọng đến đời sống của những người có quyền, nghĩa vụ liên quan đến người hạn chế năng lực hành vi dân sự này. </w:t>
      </w:r>
    </w:p>
    <w:p w:rsidR="0029609D" w:rsidRPr="00787BF1" w:rsidRDefault="0029609D" w:rsidP="0029609D">
      <w:pPr>
        <w:spacing w:before="120"/>
        <w:ind w:firstLine="284"/>
        <w:jc w:val="both"/>
        <w:rPr>
          <w:szCs w:val="28"/>
        </w:rPr>
      </w:pPr>
      <w:r w:rsidRPr="00787BF1">
        <w:rPr>
          <w:szCs w:val="28"/>
          <w:lang w:val="vi-VN"/>
        </w:rPr>
        <w:t>Pháp nhân là một dạng tổ chức nhân danh chính mình để tham gia vào các giao dịch dân sự nên bản thân tổ chức này cũng cần có người đứng đầu và được định danh là người ĐDTPL của pháp nhân. Pháp luật cho phép pháp nhân được xác định người ĐDTPL cho mình trong Điều lệ - còn được gọi là luật nội bộ, luật riêng của pháp nhân và Nhà nước sẽ thừa nhận cá nhân này là người ĐDTPL của pháp nhân. Trong các giao d</w:t>
      </w:r>
      <w:r w:rsidRPr="00787BF1">
        <w:rPr>
          <w:szCs w:val="28"/>
        </w:rPr>
        <w:t>ị</w:t>
      </w:r>
      <w:r w:rsidRPr="00787BF1">
        <w:rPr>
          <w:szCs w:val="28"/>
          <w:lang w:val="vi-VN"/>
        </w:rPr>
        <w:t xml:space="preserve">ch dân sự của pháp nhân thì người ĐDTPL có quyền thay mặt pháp nhân xác lập, thực hiện và chấm dứt trong phạm vi đại diện được quy định trong Điều lệ. </w:t>
      </w:r>
      <w:r w:rsidRPr="00787BF1">
        <w:rPr>
          <w:szCs w:val="28"/>
        </w:rPr>
        <w:t xml:space="preserve">Tuy nhiên, ĐDTPL của pháp nhân cũng có thể được xác định theo quy định của pháp luật bởi lẽ nhiều pháp nhân, đặc biệt pháp nhân nhà nước như hệ thống tổ chức của Toà án, Viện kiểm sát… đều ghi nhận rõ người đại diện là Chánh án hoặc Viện trưởng Viện kiểm sát. Như vậy, ĐDTPL của một số pháp nhân này lại được xác định trên cơ sở luật định cụ thể. ĐDTPL cũng có thể được xác định trên cơ sở Toà án chỉ định khi pháp nhân tham gia quá trình tố tụng tại Toà án nhưng với điều kiện đang không có người ĐDTPL. Một điểm mới trong quy định về ĐDTPL của pháp nhân, hiện nay nhiều quốc gia bao gồm cả Việt Nam đang ghi nhận một pháp nhân được phép có nhiều ĐDTPL. Mỗi ĐDTPL sẽ được phép đại diện trong một lĩnh vực hoặc một số lĩnh vực nhất định của pháp nhân để tránh chồng chéo và gây khó khăn cho đối tác trong các giao dịch dân sự. </w:t>
      </w:r>
    </w:p>
    <w:p w:rsidR="0029609D" w:rsidRPr="00787BF1" w:rsidRDefault="0029609D" w:rsidP="0029609D">
      <w:pPr>
        <w:spacing w:before="120"/>
        <w:ind w:firstLine="284"/>
        <w:jc w:val="both"/>
        <w:rPr>
          <w:szCs w:val="28"/>
          <w:lang w:val="vi-VN"/>
        </w:rPr>
      </w:pPr>
      <w:r w:rsidRPr="00787BF1">
        <w:rPr>
          <w:szCs w:val="28"/>
          <w:lang w:val="vi-VN"/>
        </w:rPr>
        <w:t xml:space="preserve">ĐDTPL của cá nhân hay pháp nhân đều phải là các cá nhân đáp ứng đủ điều kiện của người đại diện. Khi xem xét điều kiện áp dụng với người đại diện, yêu cầu trước nhất chính là khả năng của cá nhân này trong việc thực hiện nghĩa vụ và bảo vệ được quyền, lợi ích hợp pháp của chính bản thân mình. Điều này cũng xuất phát từ học thuyết pháp luật tự nhiên bởi lẽ những yếu tố tự nhiên sẽ quyết định và không thể dễ dàng được thay thế bởi các yếu tố khác. Cá nhân là người đại diện phải có năng lực hành vi dân sự đầy đủ, có khả năng tự mình xác lập, thực hiện các giao dịch dân sự cho chính mình thì mới có thể nhân danh và thực hiện thay cho người khác. </w:t>
      </w:r>
    </w:p>
    <w:p w:rsidR="0029609D" w:rsidRPr="00787BF1" w:rsidRDefault="0029609D" w:rsidP="0029609D">
      <w:pPr>
        <w:spacing w:before="120"/>
        <w:ind w:firstLine="284"/>
        <w:jc w:val="both"/>
        <w:rPr>
          <w:szCs w:val="28"/>
          <w:lang w:val="vi-VN"/>
        </w:rPr>
      </w:pPr>
      <w:r w:rsidRPr="00787BF1">
        <w:rPr>
          <w:szCs w:val="28"/>
          <w:lang w:val="vi-VN"/>
        </w:rPr>
        <w:t xml:space="preserve">Với các nước </w:t>
      </w:r>
      <w:r w:rsidRPr="00787BF1">
        <w:rPr>
          <w:szCs w:val="28"/>
          <w:lang w:val="en-SG"/>
        </w:rPr>
        <w:t>thuộc</w:t>
      </w:r>
      <w:r w:rsidRPr="00787BF1">
        <w:rPr>
          <w:szCs w:val="28"/>
          <w:lang w:val="vi-VN"/>
        </w:rPr>
        <w:t xml:space="preserve"> </w:t>
      </w:r>
      <w:r w:rsidRPr="00787BF1">
        <w:rPr>
          <w:bCs/>
          <w:szCs w:val="28"/>
          <w:lang w:eastAsia="vi-VN"/>
        </w:rPr>
        <w:t>hệ thống pháp luật dân sự (Civil law)</w:t>
      </w:r>
      <w:r w:rsidRPr="00787BF1">
        <w:rPr>
          <w:szCs w:val="28"/>
          <w:lang w:val="vi-VN"/>
        </w:rPr>
        <w:t>, ĐDTPL đều được quy định trong BLDS của các quốc gia này. Tại Việt Nam, chế định đại diện nói chung và ĐDTPL được quy định trong các BLDS, từ BLDS năm 1995 cho đến BLDS năm 2015 hiện đang có hiệu lực. Nhà làm luật Việt Nam ghi nhận nội hàm ĐDTPL cũng như ghi nhận cơ chế xác định người ĐDTPL của cá nhân, pháp nhân, thời hạn đại diện, phạm vi đại diện và hậu quả của giao dịch dân sự khi được xác lập bởi cá nhân không có thẩm quyền đại diện hoặc vượt quá phạm vi đại diện.</w:t>
      </w:r>
    </w:p>
    <w:p w:rsidR="0029609D" w:rsidRPr="00787BF1" w:rsidRDefault="0029609D" w:rsidP="0029609D">
      <w:pPr>
        <w:spacing w:before="120"/>
        <w:ind w:firstLine="284"/>
        <w:jc w:val="both"/>
        <w:rPr>
          <w:szCs w:val="28"/>
          <w:lang w:val="vi-VN"/>
        </w:rPr>
      </w:pPr>
      <w:r w:rsidRPr="00787BF1">
        <w:rPr>
          <w:szCs w:val="28"/>
          <w:lang w:val="vi-VN"/>
        </w:rPr>
        <w:t xml:space="preserve">Các quy định về ĐDTPL trong BLDS là nguyên tắc chung áp dụng cho các luật liên quan có quy định về ĐDTPL của cá nhân hoặc pháp nhân như Luật Doanh nghiệp, Luật </w:t>
      </w:r>
      <w:r w:rsidRPr="00787BF1">
        <w:rPr>
          <w:szCs w:val="28"/>
          <w:lang w:val="en-SG"/>
        </w:rPr>
        <w:t>T</w:t>
      </w:r>
      <w:r w:rsidRPr="00787BF1">
        <w:rPr>
          <w:szCs w:val="28"/>
          <w:lang w:val="vi-VN"/>
        </w:rPr>
        <w:t xml:space="preserve">hương mại, Luật Công chứng. </w:t>
      </w:r>
    </w:p>
    <w:p w:rsidR="0029609D" w:rsidRPr="00787BF1" w:rsidRDefault="0029609D" w:rsidP="0029609D">
      <w:pPr>
        <w:spacing w:before="120"/>
        <w:ind w:firstLine="284"/>
        <w:jc w:val="right"/>
        <w:rPr>
          <w:sz w:val="22"/>
        </w:rPr>
      </w:pPr>
      <w:r w:rsidRPr="00787BF1">
        <w:rPr>
          <w:b/>
          <w:bCs/>
          <w:sz w:val="22"/>
        </w:rPr>
        <w:lastRenderedPageBreak/>
        <w:t>HỒ NGỌC HIỂN</w:t>
      </w:r>
    </w:p>
    <w:p w:rsidR="0029609D" w:rsidRPr="00787BF1" w:rsidRDefault="0029609D" w:rsidP="0029609D">
      <w:pPr>
        <w:spacing w:before="120"/>
        <w:ind w:firstLine="284"/>
        <w:rPr>
          <w:sz w:val="24"/>
          <w:szCs w:val="24"/>
        </w:rPr>
      </w:pPr>
      <w:r w:rsidRPr="00787BF1">
        <w:rPr>
          <w:b/>
          <w:bCs/>
          <w:sz w:val="24"/>
          <w:szCs w:val="24"/>
        </w:rPr>
        <w:t>Tài liệu tham khảo:</w:t>
      </w:r>
    </w:p>
    <w:p w:rsidR="0029609D" w:rsidRPr="00787BF1" w:rsidRDefault="0029609D" w:rsidP="0029609D">
      <w:pPr>
        <w:pStyle w:val="ListParagraph"/>
        <w:widowControl w:val="0"/>
        <w:numPr>
          <w:ilvl w:val="0"/>
          <w:numId w:val="1"/>
        </w:numPr>
        <w:tabs>
          <w:tab w:val="clear" w:pos="720"/>
          <w:tab w:val="num" w:pos="567"/>
        </w:tabs>
        <w:adjustRightInd w:val="0"/>
        <w:snapToGrid w:val="0"/>
        <w:spacing w:before="120"/>
        <w:ind w:left="0" w:firstLine="284"/>
        <w:jc w:val="both"/>
        <w:rPr>
          <w:sz w:val="24"/>
          <w:szCs w:val="24"/>
        </w:rPr>
      </w:pPr>
      <w:r w:rsidRPr="00787BF1">
        <w:rPr>
          <w:sz w:val="24"/>
          <w:szCs w:val="24"/>
        </w:rPr>
        <w:t xml:space="preserve">Trường Đại học Luật Hà Nội, </w:t>
      </w:r>
      <w:r w:rsidRPr="00787BF1">
        <w:rPr>
          <w:i/>
          <w:sz w:val="24"/>
          <w:szCs w:val="24"/>
        </w:rPr>
        <w:t>Giáo trình Luật Dân sự Việt Nam (tập I)</w:t>
      </w:r>
      <w:r w:rsidRPr="00787BF1">
        <w:rPr>
          <w:sz w:val="24"/>
          <w:szCs w:val="24"/>
        </w:rPr>
        <w:t xml:space="preserve">, Nxb. Tư pháp, Hà Nội, 2022. </w:t>
      </w:r>
    </w:p>
    <w:p w:rsidR="0029609D" w:rsidRPr="00787BF1" w:rsidRDefault="0029609D" w:rsidP="0029609D">
      <w:pPr>
        <w:pStyle w:val="ListParagraph"/>
        <w:widowControl w:val="0"/>
        <w:numPr>
          <w:ilvl w:val="0"/>
          <w:numId w:val="1"/>
        </w:numPr>
        <w:tabs>
          <w:tab w:val="clear" w:pos="720"/>
          <w:tab w:val="num" w:pos="567"/>
        </w:tabs>
        <w:adjustRightInd w:val="0"/>
        <w:snapToGrid w:val="0"/>
        <w:spacing w:before="120"/>
        <w:ind w:left="0" w:firstLine="284"/>
        <w:jc w:val="both"/>
        <w:rPr>
          <w:sz w:val="24"/>
          <w:szCs w:val="24"/>
          <w:lang w:val="vi-VN"/>
        </w:rPr>
      </w:pPr>
      <w:r w:rsidRPr="00787BF1">
        <w:rPr>
          <w:sz w:val="24"/>
          <w:szCs w:val="24"/>
        </w:rPr>
        <w:t>Nguyễn Ngọc Điện</w:t>
      </w:r>
      <w:r w:rsidRPr="00787BF1">
        <w:rPr>
          <w:sz w:val="24"/>
          <w:szCs w:val="24"/>
          <w:lang w:val="vi-VN"/>
        </w:rPr>
        <w:t xml:space="preserve">, </w:t>
      </w:r>
      <w:r w:rsidRPr="00787BF1">
        <w:rPr>
          <w:i/>
          <w:sz w:val="24"/>
          <w:szCs w:val="24"/>
        </w:rPr>
        <w:t>Giáo trình Luật Dân sự (tái bản có chính sửa, bổ sung năm 2018) (tập 1)</w:t>
      </w:r>
      <w:r w:rsidRPr="00787BF1">
        <w:rPr>
          <w:i/>
          <w:sz w:val="24"/>
          <w:szCs w:val="24"/>
          <w:lang w:val="vi-VN"/>
        </w:rPr>
        <w:t xml:space="preserve">, </w:t>
      </w:r>
      <w:r w:rsidRPr="00787BF1">
        <w:rPr>
          <w:sz w:val="24"/>
          <w:szCs w:val="24"/>
        </w:rPr>
        <w:t>Nxb. Đại học Quốc gia Thành phố Hồ Chí Minh, Thành phố Hồ Chí Minh, 2018</w:t>
      </w:r>
      <w:r w:rsidRPr="00787BF1">
        <w:rPr>
          <w:sz w:val="24"/>
          <w:szCs w:val="24"/>
          <w:lang w:val="vi-VN"/>
        </w:rPr>
        <w:t>.</w:t>
      </w:r>
    </w:p>
    <w:p w:rsidR="0029609D" w:rsidRPr="00787BF1" w:rsidRDefault="0029609D" w:rsidP="0029609D">
      <w:pPr>
        <w:pStyle w:val="ListParagraph"/>
        <w:numPr>
          <w:ilvl w:val="0"/>
          <w:numId w:val="1"/>
        </w:numPr>
        <w:tabs>
          <w:tab w:val="num" w:pos="567"/>
        </w:tabs>
        <w:spacing w:before="120"/>
        <w:ind w:left="0" w:firstLine="284"/>
        <w:rPr>
          <w:sz w:val="24"/>
          <w:szCs w:val="24"/>
        </w:rPr>
      </w:pPr>
      <w:r w:rsidRPr="00787BF1">
        <w:rPr>
          <w:sz w:val="24"/>
          <w:szCs w:val="24"/>
        </w:rPr>
        <w:t xml:space="preserve">Đỗ Văn Đại </w:t>
      </w:r>
      <w:r>
        <w:rPr>
          <w:sz w:val="24"/>
          <w:szCs w:val="24"/>
        </w:rPr>
        <w:t>(chủ biên)</w:t>
      </w:r>
      <w:r w:rsidRPr="00787BF1">
        <w:rPr>
          <w:sz w:val="24"/>
          <w:szCs w:val="24"/>
        </w:rPr>
        <w:t xml:space="preserve">, </w:t>
      </w:r>
      <w:r w:rsidRPr="00787BF1">
        <w:rPr>
          <w:i/>
          <w:iCs/>
          <w:sz w:val="24"/>
          <w:szCs w:val="24"/>
        </w:rPr>
        <w:t xml:space="preserve">Bình luận khoa học những điểm mới của Bộ luật Dân sự năm 2015, </w:t>
      </w:r>
      <w:r w:rsidRPr="00787BF1">
        <w:rPr>
          <w:sz w:val="24"/>
          <w:szCs w:val="24"/>
        </w:rPr>
        <w:t>Nxb. Hồng Đức - Hội Luật gia Việt Nam, Hà Nội, 2016.</w:t>
      </w:r>
    </w:p>
    <w:p w:rsidR="001324E1" w:rsidRDefault="001324E1"/>
    <w:sectPr w:rsidR="001324E1" w:rsidSect="005630B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24487"/>
    <w:multiLevelType w:val="multilevel"/>
    <w:tmpl w:val="11240EEC"/>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09D"/>
    <w:rsid w:val="001324E1"/>
    <w:rsid w:val="0029609D"/>
    <w:rsid w:val="005630BE"/>
    <w:rsid w:val="00666C5C"/>
    <w:rsid w:val="00A84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990C6-C89E-4A6C-9BC8-0832AFEA5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sz w:val="28"/>
        <w:szCs w:val="28"/>
        <w:lang w:val="en-US" w:eastAsia="en-US" w:bidi="ar-SA"/>
      </w:rPr>
    </w:rPrDefault>
    <w:pPrDefault>
      <w:pPr>
        <w:spacing w:before="60" w:after="60"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09D"/>
    <w:pPr>
      <w:spacing w:before="0" w:after="0" w:line="240" w:lineRule="auto"/>
      <w:jc w:val="left"/>
    </w:pPr>
    <w:rPr>
      <w:rFonts w:eastAsia="Calibri"/>
      <w:b w:val="0"/>
      <w:szCs w:val="22"/>
    </w:rPr>
  </w:style>
  <w:style w:type="paragraph" w:styleId="Heading2">
    <w:name w:val="heading 2"/>
    <w:basedOn w:val="Normal"/>
    <w:next w:val="Normal"/>
    <w:link w:val="Heading2Char"/>
    <w:autoRedefine/>
    <w:unhideWhenUsed/>
    <w:qFormat/>
    <w:rsid w:val="0029609D"/>
    <w:pPr>
      <w:adjustRightInd w:val="0"/>
      <w:snapToGrid w:val="0"/>
      <w:spacing w:before="240"/>
      <w:ind w:firstLine="284"/>
      <w:jc w:val="both"/>
      <w:outlineLvl w:val="1"/>
    </w:pPr>
    <w:rPr>
      <w:iCs/>
      <w:szCs w:val="28"/>
    </w:rPr>
  </w:style>
  <w:style w:type="paragraph" w:styleId="Heading4">
    <w:name w:val="heading 4"/>
    <w:basedOn w:val="Normal"/>
    <w:next w:val="Normal"/>
    <w:link w:val="Heading4Char"/>
    <w:uiPriority w:val="9"/>
    <w:semiHidden/>
    <w:unhideWhenUsed/>
    <w:qFormat/>
    <w:rsid w:val="00A849F3"/>
    <w:pPr>
      <w:keepNext/>
      <w:keepLines/>
      <w:spacing w:before="120" w:after="120" w:line="400" w:lineRule="exact"/>
      <w:ind w:firstLine="567"/>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A849F3"/>
    <w:rPr>
      <w:rFonts w:eastAsiaTheme="majorEastAsia" w:cstheme="majorBidi"/>
      <w:i/>
      <w:iCs/>
    </w:rPr>
  </w:style>
  <w:style w:type="character" w:customStyle="1" w:styleId="Heading2Char">
    <w:name w:val="Heading 2 Char"/>
    <w:basedOn w:val="DefaultParagraphFont"/>
    <w:link w:val="Heading2"/>
    <w:rsid w:val="0029609D"/>
    <w:rPr>
      <w:rFonts w:eastAsia="Calibri"/>
      <w:b w:val="0"/>
      <w:iCs/>
    </w:rPr>
  </w:style>
  <w:style w:type="paragraph" w:styleId="ListParagraph">
    <w:name w:val="List Paragraph"/>
    <w:basedOn w:val="Normal"/>
    <w:uiPriority w:val="34"/>
    <w:qFormat/>
    <w:rsid w:val="0029609D"/>
    <w:pPr>
      <w:ind w:left="720"/>
      <w:contextualSpacing/>
    </w:pPr>
    <w:rPr>
      <w:rFonts w:eastAsia="Times New Roman"/>
      <w:sz w:val="20"/>
      <w:szCs w:val="2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5723</Characters>
  <Application>Microsoft Office Word</Application>
  <DocSecurity>0</DocSecurity>
  <Lines>47</Lines>
  <Paragraphs>13</Paragraphs>
  <ScaleCrop>false</ScaleCrop>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LoanTran</dc:creator>
  <cp:keywords/>
  <dc:description/>
  <cp:lastModifiedBy>LoanTran</cp:lastModifiedBy>
  <cp:revision>1</cp:revision>
  <dcterms:created xsi:type="dcterms:W3CDTF">2025-12-15T02:39:00Z</dcterms:created>
  <dcterms:modified xsi:type="dcterms:W3CDTF">2025-12-15T02:40:00Z</dcterms:modified>
</cp:coreProperties>
</file>